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710" w:rsidRDefault="007B3710" w:rsidP="007B3710">
      <w:r>
        <w:t>[lunedì 22 dicembre 2008]</w:t>
      </w:r>
    </w:p>
    <w:p w:rsidR="007B3710" w:rsidRDefault="007B3710" w:rsidP="007B3710">
      <w:r>
        <w:t>Finanza e Tributi - IL SOLE 24ORE</w:t>
      </w:r>
    </w:p>
    <w:p w:rsidR="007B3710" w:rsidRDefault="007B3710" w:rsidP="007B3710"/>
    <w:p w:rsidR="007B3710" w:rsidRDefault="007B3710" w:rsidP="007B3710">
      <w:r>
        <w:t>I BILANCI 2009/In arrivo - I vincoli dal 2010</w:t>
      </w:r>
    </w:p>
    <w:p w:rsidR="007B3710" w:rsidRDefault="007B3710" w:rsidP="007B3710">
      <w:r>
        <w:t>La spesa corrente fissa i tetti al «rosso»</w:t>
      </w:r>
    </w:p>
    <w:p w:rsidR="007B3710" w:rsidRDefault="007B3710" w:rsidP="007B3710"/>
    <w:p w:rsidR="007B3710" w:rsidRDefault="007B3710" w:rsidP="007B3710">
      <w:r>
        <w:t xml:space="preserve">La percentuale massima di crescita dell'indebitamento degli enti locali rispetto alla spesa corrente deve essere fissata annualmente dal ministero dell'Economia. Il limite all'innalzamento del debito degli enti locali si aggiunge al tetto dettato dal </w:t>
      </w:r>
      <w:proofErr w:type="spellStart"/>
      <w:r>
        <w:t>Tuel</w:t>
      </w:r>
      <w:proofErr w:type="spellEnd"/>
      <w:r>
        <w:t xml:space="preserve">. Entrambi i tetti non sono espressi in valore assoluto, ma si riferiscono al rapporto con la spesa corrente. In questo modo la manovra d'estate ha voluto mettere sotto controllo l'andamento della spesa per investimento dei Comuni e delle Province, che costituisce una componente assai importante dell'indebitamento complessivo delle Pubbliche amministrazioni. Sulla base di quanto previsto dall'articolo 204 del </w:t>
      </w:r>
      <w:proofErr w:type="spellStart"/>
      <w:r>
        <w:t>Dlgs</w:t>
      </w:r>
      <w:proofErr w:type="spellEnd"/>
      <w:r>
        <w:t xml:space="preserve"> 267/2000, nessun Comune e nessuna Provincia possono contrarre nuovi mutui o altre forme di indebitamento che sommate a quelle precedentemente assunte, superino il 12% dei primi tre titoli delle entrate (tetto che nel corso degli anni è stato progressivamente ridotto rispetto al 25% previsto inizialmente).</w:t>
      </w:r>
    </w:p>
    <w:p w:rsidR="007B3710" w:rsidRDefault="007B3710" w:rsidP="007B3710"/>
    <w:p w:rsidR="007B3710" w:rsidRDefault="007B3710" w:rsidP="007B3710">
      <w:r>
        <w:t>Le nuove disposizioni sono contenute nei commi 10 ed 11 dell'articolo 77-bis della manovra estiva. Esse stabiliscono che il tetto alla crescita dell'indebitamento si applicherà ma solo a partire dal 2010, così da consentire alle amministrazioni di avere un periodo transitorio per potersi adattare alla nuova condizione. I nuovi vincoli operano per gli enti locali, soggetti al Patto di stabilità. Questa esclusione è motivata dalla scarsa incidenza dell'indebitamento dei Comuni più piccoli sui volumi complessivi della spesa pubblica. Il tetto all'aumento dell'indebitamento viene determinato con cadenza annuale che, contemporaneamente, ha una proiezione triennale, detta cioè le regole per un arco temporale più lungo. Tale tetto viene fissato in coerenza con gli obiettivi complessivi di contenimento della spesa pubblica previsti dai Documenti di programmazione economica e finanziaria. Viene infine stabilito che, in caso di superamento della incidenza del debito per indebitamento sulla spesa corrente lo stesso decreto del ministero dell'Economia disporrà la sua riduzione dell'1 per cento.</w:t>
      </w:r>
    </w:p>
    <w:p w:rsidR="007B3710" w:rsidRDefault="007B3710" w:rsidP="007B3710"/>
    <w:p w:rsidR="007B3710" w:rsidRDefault="007B3710" w:rsidP="007B3710"/>
    <w:p w:rsidR="00BC6938" w:rsidRDefault="007B3710" w:rsidP="007B3710">
      <w:r>
        <w:t>Arturo Bianco</w:t>
      </w:r>
    </w:p>
    <w:sectPr w:rsidR="00BC6938" w:rsidSect="00BC693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B3710"/>
    <w:rsid w:val="007B3710"/>
    <w:rsid w:val="00B46D25"/>
    <w:rsid w:val="00B77BDB"/>
    <w:rsid w:val="00BC693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ook Antiqua" w:eastAsiaTheme="minorHAnsi" w:hAnsi="Book Antiqua" w:cstheme="minorBidi"/>
        <w:sz w:val="24"/>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69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335</Words>
  <Characters>1913</Characters>
  <Application>Microsoft Office Word</Application>
  <DocSecurity>0</DocSecurity>
  <Lines>15</Lines>
  <Paragraphs>4</Paragraphs>
  <ScaleCrop>false</ScaleCrop>
  <Company>intel</Company>
  <LinksUpToDate>false</LinksUpToDate>
  <CharactersWithSpaces>2244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pentium</dc:creator>
  <cp:keywords/>
  <dc:description/>
  <cp:lastModifiedBy>pentium</cp:lastModifiedBy>
  <cp:revision>1</cp:revision>
  <dcterms:created xsi:type="dcterms:W3CDTF">2008-12-22T21:56:00Z</dcterms:created>
  <dcterms:modified xsi:type="dcterms:W3CDTF">2008-12-22T21:56:00Z</dcterms:modified>
</cp:coreProperties>
</file>